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sz w:val="30"/>
          <w:szCs w:val="30"/>
        </w:rPr>
      </w:pPr>
      <w:r>
        <w:rPr>
          <w:sz w:val="30"/>
          <w:szCs w:val="30"/>
        </w:rPr>
        <w:t>КОБРИНСКИЙ РАЙОННЫЙ ИСПОЛНИТЕЛЬНЫЙ КОМИТЕТ</w:t>
      </w:r>
    </w:p>
    <w:p>
      <w:pPr>
        <w:spacing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</w:r>
    </w:p>
    <w:p>
      <w:pPr>
        <w:spacing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Совет по развитию предпринимательства </w:t>
      </w:r>
    </w:p>
    <w:p>
      <w:pPr>
        <w:spacing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при Кобринском районном исполнительном комитете</w:t>
      </w:r>
    </w:p>
    <w:p>
      <w:pPr>
        <w:ind w:firstLine="709"/>
        <w:spacing/>
        <w:jc w:val="both"/>
        <w:rPr>
          <w:sz w:val="30"/>
          <w:szCs w:val="30"/>
        </w:rPr>
      </w:pPr>
      <w:r>
        <w:rPr>
          <w:sz w:val="30"/>
          <w:szCs w:val="30"/>
        </w:rPr>
      </w:r>
    </w:p>
    <w:p>
      <w:pPr>
        <w:spacing/>
        <w:jc w:val="center"/>
        <w:rPr>
          <w:b/>
          <w:bCs/>
          <w:sz w:val="30"/>
          <w:szCs w:val="30"/>
        </w:rPr>
      </w:pPr>
      <w:r>
        <w:rPr>
          <w:b/>
          <w:sz w:val="30"/>
          <w:szCs w:val="30"/>
        </w:rPr>
        <w:t>ПРОТОКОЛ</w:t>
      </w:r>
      <w:r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</w:r>
    </w:p>
    <w:p>
      <w:pPr>
        <w:spacing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</w:r>
    </w:p>
    <w:p>
      <w:pPr>
        <w:pStyle w:val="para1"/>
      </w:pPr>
      <w:r>
        <w:t>2 апреля 2019 г.                                 № 2                             г. Кобрин</w:t>
      </w:r>
    </w:p>
    <w:p>
      <w:r/>
    </w:p>
    <w:p>
      <w:pPr>
        <w:pStyle w:val="para1"/>
      </w:pPr>
      <w:r>
        <w:t>10-00 часов</w:t>
      </w:r>
    </w:p>
    <w:p>
      <w:pPr>
        <w:pStyle w:val="para4"/>
        <w:ind w:right="4763"/>
        <w:spacing w:line="280" w:lineRule="exact"/>
        <w:jc w:val="both"/>
        <w:widowControl/>
        <w:tabs>
          <w:tab w:val="left" w:pos="4535" w:leader="none"/>
          <w:tab w:val="left" w:pos="4962" w:leader="none"/>
        </w:tabs>
        <w:rPr>
          <w:sz w:val="30"/>
          <w:szCs w:val="30"/>
        </w:rPr>
      </w:pPr>
      <w:r>
        <w:rPr>
          <w:sz w:val="30"/>
          <w:szCs w:val="30"/>
        </w:rPr>
        <w:t xml:space="preserve">О согласовании проекта </w:t>
      </w:r>
      <w:r>
        <w:rPr>
          <w:rStyle w:val="char2"/>
          <w:sz w:val="30"/>
          <w:szCs w:val="30"/>
        </w:rPr>
        <w:t xml:space="preserve">решения Кобринского районного Совета депутатов </w:t>
      </w:r>
      <w:r>
        <w:rPr>
          <w:sz w:val="30"/>
          <w:szCs w:val="30"/>
        </w:rPr>
      </w:r>
    </w:p>
    <w:p>
      <w:pPr>
        <w:pStyle w:val="para4"/>
        <w:ind w:right="4536"/>
        <w:spacing w:line="280" w:lineRule="exact"/>
        <w:jc w:val="both"/>
        <w:widowControl/>
        <w:tabs>
          <w:tab w:val="left" w:pos="4535" w:leader="none"/>
          <w:tab w:val="left" w:pos="4962" w:leader="none"/>
        </w:tabs>
      </w:pPr>
      <w:r/>
    </w:p>
    <w:tbl>
      <w:tblPr>
        <w:name w:val="Таблица1"/>
        <w:tabOrder w:val="0"/>
        <w:jc w:val="left"/>
        <w:tblInd w:w="0" w:type="dxa"/>
        <w:tblW w:w="8928" w:type="dxa"/>
      </w:tblPr>
      <w:tblGrid>
        <w:gridCol w:w="4395"/>
        <w:gridCol w:w="33"/>
        <w:gridCol w:w="4467"/>
        <w:gridCol w:w="33"/>
      </w:tblGrid>
      <w:tr>
        <w:trPr>
          <w:trHeight w:val="0" w:hRule="auto"/>
        </w:trPr>
        <w:tc>
          <w:tcPr>
            <w:tcW w:w="4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spacing/>
              <w:jc w:val="both"/>
              <w:tabs>
                <w:tab w:val="left" w:pos="345" w:leader="none"/>
                <w:tab w:val="left" w:pos="6887" w:leader="none"/>
              </w:tabs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Председательствовал:</w:t>
            </w:r>
          </w:p>
          <w:p>
            <w:pPr>
              <w:spacing/>
              <w:jc w:val="both"/>
              <w:tabs>
                <w:tab w:val="left" w:pos="345" w:leader="none"/>
                <w:tab w:val="left" w:pos="6887" w:leader="none"/>
              </w:tabs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Новик Василий Васильевич</w:t>
            </w:r>
            <w:r>
              <w:rPr>
                <w:b/>
                <w:sz w:val="30"/>
                <w:szCs w:val="30"/>
              </w:rPr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spacing/>
              <w:jc w:val="both"/>
              <w:tabs>
                <w:tab w:val="left" w:pos="-109" w:leader="none"/>
                <w:tab w:val="left" w:pos="4320" w:leader="none"/>
                <w:tab w:val="left" w:pos="6887" w:leader="none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  <w:p>
            <w:pPr>
              <w:spacing/>
              <w:jc w:val="both"/>
              <w:tabs>
                <w:tab w:val="left" w:pos="-109" w:leader="none"/>
                <w:tab w:val="left" w:pos="4320" w:leader="none"/>
                <w:tab w:val="left" w:pos="6887" w:leader="none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глава крестьянского (фермерского) хозяйства «Виллия-агро», председатель Совета</w:t>
            </w:r>
          </w:p>
        </w:tc>
      </w:tr>
      <w:tr>
        <w:trPr>
          <w:trHeight w:val="80" w:hRule="atLeast"/>
        </w:trPr>
        <w:tc>
          <w:tcPr>
            <w:tcW w:w="4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r/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r/>
          </w:p>
        </w:tc>
      </w:tr>
      <w:tr>
        <w:trPr>
          <w:trHeight w:val="0" w:hRule="auto"/>
        </w:trPr>
        <w:tc>
          <w:tcPr>
            <w:tcW w:w="4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spacing/>
              <w:jc w:val="both"/>
              <w:tabs>
                <w:tab w:val="left" w:pos="345" w:leader="none"/>
                <w:tab w:val="left" w:pos="4544" w:leader="none"/>
                <w:tab w:val="left" w:pos="6887" w:leader="none"/>
              </w:tabs>
              <w:rPr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Члены совета:</w:t>
            </w:r>
            <w:r>
              <w:rPr>
                <w:sz w:val="30"/>
                <w:szCs w:val="30"/>
              </w:rPr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ind w:left="-109"/>
              <w:spacing/>
              <w:jc w:val="both"/>
              <w:tabs>
                <w:tab w:val="left" w:pos="4544" w:leader="none"/>
                <w:tab w:val="left" w:pos="6887" w:leader="none"/>
              </w:tabs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</w:r>
          </w:p>
        </w:tc>
      </w:tr>
      <w:tr>
        <w:trPr>
          <w:trHeight w:val="0" w:hRule="auto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Борисюк Виктор Петрович </w:t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директор частного транспортного унитарного предприятия «С.В.БАРСТРАНС»</w:t>
            </w:r>
          </w:p>
        </w:tc>
      </w:tr>
      <w:tr>
        <w:trPr>
          <w:trHeight w:val="0" w:hRule="auto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>
          <w:trHeight w:val="0" w:hRule="auto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Гловацкая Нина Никитична</w:t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spacing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глава крестьянского (фермерского) хозяйства «Алесин сад» </w:t>
            </w:r>
          </w:p>
        </w:tc>
      </w:tr>
      <w:tr>
        <w:trPr>
          <w:trHeight w:val="0" w:hRule="auto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spacing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>
          <w:trHeight w:val="0" w:hRule="auto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Блеян Михаил Яковлевич</w:t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spacing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директор общества с ограниченной ответственностью «Многопрофильная производственно-торговая фирма «Беларусь»</w:t>
            </w:r>
          </w:p>
        </w:tc>
      </w:tr>
      <w:tr>
        <w:trPr>
          <w:trHeight w:val="0" w:hRule="auto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spacing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</w:tc>
      </w:tr>
      <w:tr>
        <w:trPr>
          <w:trHeight w:val="0" w:hRule="auto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Омельянчук Сергей Иванович</w:t>
            </w: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spacing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директор унитарного предприятия «ДобрыняДар»</w:t>
            </w:r>
          </w:p>
        </w:tc>
      </w:tr>
    </w:tbl>
    <w:p>
      <w:pPr>
        <w:ind w:right="39"/>
        <w:spacing w:line="36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Присутствовали:</w:t>
      </w:r>
    </w:p>
    <w:p>
      <w:pPr>
        <w:spacing/>
        <w:jc w:val="both"/>
        <w:rPr>
          <w:sz w:val="30"/>
          <w:szCs w:val="30"/>
        </w:rPr>
      </w:pPr>
      <w:r>
        <w:rPr>
          <w:sz w:val="30"/>
          <w:szCs w:val="30"/>
        </w:rPr>
        <w:t>Денисюк Сергей Иванович – заместитель председателя Кобринского районного исполнительного комитета;</w:t>
      </w:r>
    </w:p>
    <w:p>
      <w:pPr>
        <w:spacing/>
        <w:jc w:val="both"/>
        <w:rPr>
          <w:sz w:val="30"/>
          <w:szCs w:val="30"/>
        </w:rPr>
      </w:pPr>
      <w:r>
        <w:rPr>
          <w:sz w:val="30"/>
          <w:szCs w:val="30"/>
        </w:rPr>
        <w:t>Бартош Сергей Иванович – первый заместитель председателя Кобринсого райисполкома;</w:t>
      </w:r>
    </w:p>
    <w:p>
      <w:pPr>
        <w:spacing/>
        <w:jc w:val="both"/>
        <w:rPr>
          <w:sz w:val="30"/>
          <w:szCs w:val="30"/>
        </w:rPr>
      </w:pPr>
      <w:r>
        <w:rPr>
          <w:sz w:val="30"/>
          <w:szCs w:val="30"/>
        </w:rPr>
        <w:t>Позняк Дан Владимирович – начальник отдела экономики Кобринского районного исполнительного комитета.</w:t>
      </w:r>
    </w:p>
    <w:p>
      <w:pPr>
        <w:ind w:right="282"/>
        <w:spacing/>
        <w:jc w:val="both"/>
        <w:rPr>
          <w:sz w:val="30"/>
          <w:szCs w:val="30"/>
        </w:rPr>
      </w:pPr>
      <w:r>
        <w:rPr>
          <w:sz w:val="30"/>
          <w:szCs w:val="30"/>
        </w:rPr>
        <w:t>Собрание совета по развитию предпринимательства при Кобринском районном исполнительном комитете проводится в очной форме.</w:t>
      </w:r>
    </w:p>
    <w:p>
      <w:pPr>
        <w:ind w:right="282"/>
        <w:widowControl w:val="0"/>
        <w:rPr>
          <w:sz w:val="30"/>
          <w:szCs w:val="30"/>
        </w:rPr>
      </w:pPr>
      <w:r>
        <w:rPr>
          <w:sz w:val="30"/>
          <w:szCs w:val="30"/>
        </w:rPr>
        <w:t>Форма голосования: открытое голосование.</w:t>
      </w:r>
      <w:r>
        <w:rPr>
          <w:sz w:val="30"/>
          <w:szCs w:val="30"/>
        </w:rPr>
      </w:r>
    </w:p>
    <w:p>
      <w:pPr>
        <w:ind w:right="282"/>
        <w:spacing w:line="36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</w:r>
    </w:p>
    <w:p>
      <w:pPr>
        <w:ind w:right="282"/>
        <w:spacing w:line="360" w:lineRule="auto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Повестка дня:</w:t>
      </w:r>
    </w:p>
    <w:p>
      <w:pPr>
        <w:pStyle w:val="para4"/>
        <w:ind w:firstLine="709"/>
        <w:spacing w:line="240" w:lineRule="auto"/>
        <w:jc w:val="both"/>
        <w:widowControl/>
        <w:rPr>
          <w:sz w:val="30"/>
          <w:szCs w:val="30"/>
        </w:rPr>
      </w:pPr>
      <w:r>
        <w:rPr>
          <w:rStyle w:val="char2"/>
          <w:sz w:val="30"/>
          <w:szCs w:val="30"/>
        </w:rPr>
        <w:t>1. О согласовании проекта решения Кобринского районного Совета депутатов «</w:t>
      </w:r>
      <w:r>
        <w:rPr>
          <w:sz w:val="30"/>
          <w:szCs w:val="30"/>
        </w:rPr>
        <w:t>О мерах по реализации Указа Президента Республики Беларусь от 2 октября 2018 г. № 399</w:t>
      </w:r>
      <w:r>
        <w:rPr>
          <w:sz w:val="30"/>
          <w:szCs w:val="30"/>
        </w:rPr>
        <w:t>».</w:t>
      </w:r>
      <w:r>
        <w:rPr>
          <w:sz w:val="30"/>
          <w:szCs w:val="30"/>
        </w:rPr>
      </w:r>
    </w:p>
    <w:p>
      <w:pPr>
        <w:pStyle w:val="para7"/>
        <w:ind w:firstLine="709"/>
        <w:spacing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>
        <w:rPr>
          <w:rStyle w:val="char1"/>
          <w:rFonts w:ascii="Times New Roman" w:hAnsi="Times New Roman" w:cs="Times New Roman"/>
          <w:i w:val="0"/>
          <w:sz w:val="30"/>
          <w:szCs w:val="30"/>
        </w:rPr>
        <w:t xml:space="preserve">Слушали: </w:t>
      </w:r>
      <w:r>
        <w:rPr>
          <w:rStyle w:val="char1"/>
          <w:rFonts w:ascii="Times New Roman" w:hAnsi="Times New Roman" w:cs="Times New Roman"/>
          <w:i w:val="0"/>
          <w:sz w:val="30"/>
          <w:szCs w:val="30"/>
        </w:rPr>
        <w:t xml:space="preserve">Позняка Дана Владимировича, который изложил проект решения </w:t>
      </w:r>
      <w:r>
        <w:rPr>
          <w:rStyle w:val="char2"/>
          <w:sz w:val="30"/>
          <w:szCs w:val="30"/>
        </w:rPr>
        <w:t>«</w:t>
      </w:r>
      <w:r>
        <w:rPr>
          <w:rFonts w:ascii="Times New Roman" w:hAnsi="Times New Roman" w:cs="Times New Roman"/>
          <w:sz w:val="30"/>
          <w:szCs w:val="30"/>
        </w:rPr>
        <w:t>О мерах по реализации Указа Президента Республики Беларусь от 2 октября 2018 г. № 399</w:t>
      </w:r>
      <w:r>
        <w:rPr>
          <w:rFonts w:ascii="Times New Roman" w:hAnsi="Times New Roman" w:cs="Times New Roman"/>
          <w:sz w:val="30"/>
          <w:szCs w:val="30"/>
        </w:rPr>
        <w:t>».</w:t>
      </w:r>
      <w:r>
        <w:rPr>
          <w:rFonts w:ascii="Times New Roman" w:hAnsi="Times New Roman" w:cs="Times New Roman"/>
          <w:sz w:val="30"/>
          <w:szCs w:val="30"/>
        </w:rPr>
      </w:r>
    </w:p>
    <w:p>
      <w:pPr>
        <w:ind w:firstLine="709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Целью подготовки проекта</w:t>
      </w:r>
      <w:r>
        <w:rPr>
          <w:rFonts w:eastAsia="Calibri"/>
          <w:b/>
          <w:sz w:val="30"/>
          <w:szCs w:val="30"/>
          <w:lang w:eastAsia="zh-cn"/>
        </w:rPr>
        <w:t xml:space="preserve"> </w:t>
      </w:r>
      <w:r>
        <w:rPr>
          <w:rFonts w:eastAsia="Calibri"/>
          <w:sz w:val="30"/>
          <w:szCs w:val="30"/>
          <w:lang w:eastAsia="zh-cn"/>
        </w:rPr>
        <w:t xml:space="preserve">решения Кобринского районного Совета депутатов «О </w:t>
      </w:r>
      <w:r>
        <w:rPr>
          <w:rFonts w:eastAsia="Calibri"/>
          <w:bCs/>
          <w:sz w:val="30"/>
          <w:szCs w:val="30"/>
          <w:lang w:eastAsia="zh-cn"/>
        </w:rPr>
        <w:t>мерах по реализации Указа Президента Республики Беларусь от 2 октября 2018 г. № 399»</w:t>
      </w:r>
      <w:r>
        <w:rPr>
          <w:rFonts w:eastAsia="Calibri"/>
          <w:b/>
          <w:sz w:val="30"/>
          <w:szCs w:val="30"/>
          <w:lang w:eastAsia="zh-cn"/>
        </w:rPr>
        <w:t xml:space="preserve"> </w:t>
      </w:r>
      <w:r>
        <w:rPr>
          <w:rFonts w:eastAsia="Calibri"/>
          <w:sz w:val="30"/>
          <w:szCs w:val="30"/>
          <w:lang w:eastAsia="zh-cn"/>
        </w:rPr>
        <w:t xml:space="preserve">(далее – проект решения) является </w:t>
      </w:r>
      <w:r>
        <w:rPr>
          <w:rFonts w:eastAsia="Calibri"/>
          <w:spacing w:val="-6"/>
          <w:sz w:val="30"/>
          <w:szCs w:val="30"/>
          <w:lang w:eastAsia="zh-cn"/>
        </w:rPr>
        <w:t>установление оснований для применения мер по повышению</w:t>
      </w:r>
      <w:r>
        <w:rPr>
          <w:rFonts w:eastAsia="Calibri"/>
          <w:sz w:val="30"/>
          <w:szCs w:val="30"/>
          <w:lang w:eastAsia="zh-cn"/>
        </w:rPr>
        <w:t xml:space="preserve"> эффективности управления </w:t>
      </w:r>
      <w:r>
        <w:rPr>
          <w:rFonts w:eastAsia="Calibri"/>
          <w:spacing w:val="-6"/>
          <w:sz w:val="30"/>
          <w:szCs w:val="30"/>
          <w:lang w:eastAsia="zh-cn"/>
        </w:rPr>
        <w:t>сельскохозяйственными</w:t>
      </w:r>
      <w:r>
        <w:rPr>
          <w:rFonts w:eastAsia="Calibri"/>
          <w:sz w:val="30"/>
          <w:szCs w:val="30"/>
          <w:lang w:eastAsia="zh-cn"/>
        </w:rPr>
        <w:t xml:space="preserve"> организациями, находящимися в собственности Кобринского района, и включенными в перечни неплатежеспособных сельскохозяйственных организаций, подлежащих финансовому оздоровлению, утвержденные Брестским облисполкомом (далее – перечень). Правовым основанием подготовки проекта решения является пункт 12 Указа Президента Республики Беларусь от </w:t>
      </w:r>
      <w:r>
        <w:rPr>
          <w:rFonts w:eastAsia="Calibri"/>
          <w:spacing w:val="-6"/>
          <w:sz w:val="30"/>
          <w:szCs w:val="30"/>
          <w:lang w:eastAsia="zh-cn"/>
        </w:rPr>
        <w:t>2 октября 2018 г. № 399 «О финансовом оздоровлении сельскохозяйственных</w:t>
      </w:r>
      <w:r>
        <w:rPr>
          <w:rFonts w:eastAsia="Calibri"/>
          <w:sz w:val="30"/>
          <w:szCs w:val="30"/>
          <w:lang w:eastAsia="zh-cn"/>
        </w:rPr>
        <w:t xml:space="preserve"> </w:t>
      </w:r>
      <w:r>
        <w:rPr>
          <w:rFonts w:eastAsia="Calibri"/>
          <w:spacing w:val="-6"/>
          <w:sz w:val="30"/>
          <w:szCs w:val="30"/>
          <w:lang w:eastAsia="zh-cn"/>
        </w:rPr>
        <w:t>организаций» (далее – Указ № 399), согласно которому местным Советам депутатов поручено установить порядок распоряжения находящимися в коммунальной собственности имущественными комплексами, акциями (долями в уставном фонде) неплатежеспособных сельскохозяйственных организаций в рамках применения мер по повышению</w:t>
      </w:r>
      <w:r>
        <w:rPr>
          <w:rFonts w:eastAsia="Calibri"/>
          <w:sz w:val="30"/>
          <w:szCs w:val="30"/>
          <w:lang w:eastAsia="zh-cn"/>
        </w:rPr>
        <w:t xml:space="preserve"> эффективности управления этими </w:t>
      </w:r>
      <w:r>
        <w:rPr>
          <w:rFonts w:eastAsia="Calibri"/>
          <w:spacing w:val="-6"/>
          <w:sz w:val="30"/>
          <w:szCs w:val="30"/>
          <w:lang w:eastAsia="zh-cn"/>
        </w:rPr>
        <w:t>сельскохозяйственными</w:t>
      </w:r>
      <w:r>
        <w:rPr>
          <w:rFonts w:eastAsia="Calibri"/>
          <w:sz w:val="30"/>
          <w:szCs w:val="30"/>
          <w:lang w:eastAsia="zh-cn"/>
        </w:rPr>
        <w:t xml:space="preserve"> организациями.</w:t>
      </w:r>
      <w:r>
        <w:rPr>
          <w:rFonts w:eastAsia="Calibri"/>
          <w:sz w:val="30"/>
          <w:szCs w:val="30"/>
          <w:lang w:eastAsia="zh-cn"/>
        </w:rPr>
      </w:r>
    </w:p>
    <w:p>
      <w:pPr>
        <w:pStyle w:val="para10"/>
        <w:ind w:left="57" w:firstLine="680"/>
        <w:rPr>
          <w:sz w:val="30"/>
          <w:szCs w:val="30"/>
        </w:rPr>
      </w:pPr>
      <w:r>
        <w:rPr>
          <w:sz w:val="30"/>
          <w:szCs w:val="30"/>
        </w:rPr>
        <w:t> Предмет правового регулирования структурных элементов проекта, изменяющих существующее правовое регулирование соответствующих общественных отношений, информация об изменении концептуальных положений законодательства, институтов отрасли (отраслей) законодательства и правовых последствиях такого изменения.</w:t>
      </w:r>
    </w:p>
    <w:p>
      <w:pPr>
        <w:pStyle w:val="para10"/>
        <w:rPr>
          <w:sz w:val="30"/>
          <w:szCs w:val="30"/>
        </w:rPr>
      </w:pPr>
      <w:r>
        <w:rPr>
          <w:sz w:val="30"/>
          <w:szCs w:val="30"/>
        </w:rPr>
        <w:t>Предметом правового регулирования проекта решения являются общественные отношения, возникающие относительно порядка распоряжения находящимися в собственности Кобринского района имущественными комплексами, акциями (долями в уставном фонде) неплатежеспособных сельскохозяйственных организаций, включенных в перечень.</w:t>
      </w:r>
    </w:p>
    <w:p>
      <w:pPr>
        <w:pStyle w:val="para10"/>
        <w:rPr>
          <w:sz w:val="30"/>
          <w:szCs w:val="30"/>
        </w:rPr>
      </w:pPr>
      <w:r>
        <w:rPr>
          <w:sz w:val="30"/>
          <w:szCs w:val="30"/>
        </w:rPr>
        <w:t>Проектом решения предусматривается утвердить инструкции, предусматривающие особый порядок:</w:t>
      </w:r>
    </w:p>
    <w:p>
      <w:pPr>
        <w:pStyle w:val="para10"/>
        <w:rPr>
          <w:sz w:val="30"/>
          <w:szCs w:val="30"/>
        </w:rPr>
      </w:pPr>
      <w:r>
        <w:rPr>
          <w:sz w:val="30"/>
          <w:szCs w:val="30"/>
        </w:rPr>
        <w:t>продажи путем проведения аукциона (конкурса) предприятий как имущественных комплексов (акций (долей в уставном фонде) сельскохозяйственных организаций;</w:t>
      </w:r>
    </w:p>
    <w:p>
      <w:pPr>
        <w:ind w:firstLine="567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сдачи в аренду предприятия как имущественного комплекса сельскохозяйственной организации;</w:t>
      </w:r>
    </w:p>
    <w:p>
      <w:pPr>
        <w:ind w:firstLine="567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передачи в доверительное управление акций (доли в уставном фонде) сельскохозяйственной организации;</w:t>
      </w:r>
    </w:p>
    <w:p>
      <w:pPr>
        <w:ind w:firstLine="567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передачи полномочий исполнительного органа (руководителя) сельскохозяйственной организации по договору другой коммерческой организации (управляющей организации) либо индивидуальному предпринимателю (управляющему).</w:t>
      </w:r>
    </w:p>
    <w:p>
      <w:pPr>
        <w:ind w:firstLine="709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 xml:space="preserve">В отношении сельскохозяйственных организаций, имущество (акции) которых находится в собственности Кобринского района, решения принимаются в порядке, установленном решением Кобринского районного Совета депутатов от 14 сентября 2012 г. № 131 «О порядке управления и распоряжения государственным имуществом, находящимся в собственности Кобринского района».  </w:t>
      </w:r>
    </w:p>
    <w:p>
      <w:pPr>
        <w:ind w:firstLine="709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 xml:space="preserve">Вместе с тем, в целях реализации определенных Указом № 399 мер по повышению эффективности управления включенных в перечень сельскохозяйственных организаций, инструкциями, предлагаемыми к утверждению проектом решения, о порядке и условиях передачи имущественного комплекса сельскохозяйственной организации в аренду, в доверительное управление принадлежащих Кобринскому району акций (долей в уставном фонде), полномочий исполнительного органа по договору другой коммерческой организации (индивидуальному предпринимателю) предусматриваются дополнительные механизмы в виде права последующего выкупа принадлежащих Кобринскому району имущественного комплекса, акций (долей в уставном фонде) сельскохозяйственной организации, по результатам реализации бизнес-плана по ее финансовому оздоровлению. </w:t>
      </w:r>
    </w:p>
    <w:p>
      <w:pPr>
        <w:ind w:firstLine="567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Указанными инструкциями будут определены:</w:t>
      </w:r>
    </w:p>
    <w:p>
      <w:pPr>
        <w:ind w:firstLine="567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стоимость арендуемого имущественного комплекса сельскохозяйственной организации;</w:t>
      </w:r>
    </w:p>
    <w:p>
      <w:pPr>
        <w:ind w:firstLine="567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размер вознаграждения доверительному управляющему при передаче государственного пакета акций (долей в уставном фонде) сельскохозяйственной организации;</w:t>
      </w:r>
    </w:p>
    <w:p>
      <w:pPr>
        <w:ind w:firstLine="567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размер вознаграждения управляющей организации (управляющему) при передаче полномочий исполнительного органа сельскохозяйственной организации по договору другой коммерческой организации;</w:t>
      </w:r>
    </w:p>
    <w:p>
      <w:pPr>
        <w:ind w:firstLine="567"/>
        <w:spacing w:line="259" w:lineRule="auto"/>
        <w:contextualSpacing/>
        <w:jc w:val="both"/>
        <w:widowControl w:val="0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порядок определения цены продажи имущественного комплекса, а также акций (долей в уставном фонде) сельскохозяйственной организации, при этом в зависимости от сложившегося в течение последних трех лет финансового результата от реализации продукции, товаров (работ, услуг) стоимость продаваемого имущественного комплекса, а также принадлежащих Кобринскому району акций (долей в уставном фонде) сельскохозяйственной организации может быть рыночной, 20,50, 80 и 100 процентов от оценочной стоимости, либо равной одной базовой величине;</w:t>
      </w:r>
    </w:p>
    <w:p>
      <w:pPr>
        <w:ind w:firstLine="567"/>
        <w:spacing/>
        <w:contextual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условия и порядок проведения конкурса при продаже имущественного комплекса, а также принадлежащих Кобринскому району акций (долей в уставном фонде) сельскохозяйственной организации по конкурсу;</w:t>
      </w:r>
    </w:p>
    <w:p>
      <w:pPr>
        <w:ind w:firstLine="567"/>
        <w:spacing/>
        <w:jc w:val="both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перечень обязательных условий, включаемых в договоры аренды, доверительного управления, передачи исполнительного органа или купли-продажи и др.</w:t>
      </w:r>
    </w:p>
    <w:p>
      <w:pPr>
        <w:pStyle w:val="para11"/>
        <w:ind w:firstLine="709"/>
        <w:spacing w:line="350" w:lineRule="exact"/>
        <w:rPr>
          <w:spacing w:val="-4"/>
          <w:sz w:val="30"/>
          <w:szCs w:val="30"/>
        </w:rPr>
      </w:pPr>
      <w:r>
        <w:rPr>
          <w:sz w:val="30"/>
          <w:szCs w:val="30"/>
        </w:rPr>
        <w:t>При решении вопросов сдачи предприятия в аренду, передачи в доверительное управление принадлежащих</w:t>
      </w:r>
      <w:r>
        <w:rPr>
          <w:spacing w:val="-4"/>
          <w:sz w:val="30"/>
          <w:szCs w:val="30"/>
        </w:rPr>
        <w:t xml:space="preserve"> Кобринскому району </w:t>
      </w:r>
      <w:r>
        <w:rPr>
          <w:sz w:val="30"/>
          <w:szCs w:val="30"/>
        </w:rPr>
        <w:t xml:space="preserve">акций (доли в уставном фонде) сельскохозяйственной организации </w:t>
      </w:r>
      <w:r>
        <w:rPr>
          <w:spacing w:val="-4"/>
          <w:sz w:val="30"/>
          <w:szCs w:val="30"/>
        </w:rPr>
        <w:t xml:space="preserve">доверительному управляющему или передачи </w:t>
      </w:r>
      <w:r>
        <w:rPr>
          <w:sz w:val="30"/>
          <w:szCs w:val="30"/>
        </w:rPr>
        <w:t xml:space="preserve">полномочий руководителя сельскохозяйственной организации </w:t>
      </w:r>
      <w:r>
        <w:rPr>
          <w:spacing w:val="-4"/>
          <w:sz w:val="30"/>
          <w:szCs w:val="30"/>
        </w:rPr>
        <w:t xml:space="preserve">управляющей организации (управляющему) в случае наличия нескольких претендентов орган управления вправе провести конкурс в установленном законодательством порядке. </w:t>
      </w:r>
      <w:r>
        <w:rPr>
          <w:spacing w:val="-4"/>
          <w:sz w:val="30"/>
          <w:szCs w:val="30"/>
        </w:rPr>
      </w:r>
    </w:p>
    <w:p>
      <w:pPr>
        <w:ind w:firstLine="567"/>
        <w:spacing/>
        <w:jc w:val="both"/>
        <w:widowControl w:val="0"/>
        <w:rPr>
          <w:rFonts w:eastAsia="Calibri"/>
          <w:sz w:val="30"/>
          <w:szCs w:val="30"/>
          <w:lang w:eastAsia="zh-cn"/>
        </w:rPr>
      </w:pPr>
      <w:r>
        <w:rPr>
          <w:rFonts w:eastAsia="Calibri"/>
          <w:spacing w:val="-4"/>
          <w:sz w:val="30"/>
          <w:szCs w:val="30"/>
          <w:lang w:eastAsia="zh-cn"/>
        </w:rPr>
        <w:t xml:space="preserve">В случае последующей продажи имущественного комплекса сельскохозяйственной организации по результатам выполнения условий договоров </w:t>
      </w:r>
      <w:r>
        <w:rPr>
          <w:rFonts w:eastAsia="Calibri"/>
          <w:sz w:val="30"/>
          <w:szCs w:val="30"/>
          <w:lang w:eastAsia="zh-cn"/>
        </w:rPr>
        <w:t xml:space="preserve">или передачи полномочий руководителя сельскохозяйственной организации </w:t>
      </w:r>
      <w:r>
        <w:rPr>
          <w:rFonts w:eastAsia="Calibri"/>
          <w:spacing w:val="-4"/>
          <w:sz w:val="30"/>
          <w:szCs w:val="30"/>
          <w:lang w:eastAsia="zh-cn"/>
        </w:rPr>
        <w:t xml:space="preserve">управляющей организации (управляющему), предусматривается возможность передачи </w:t>
      </w:r>
      <w:r>
        <w:rPr>
          <w:rFonts w:eastAsia="Calibri"/>
          <w:sz w:val="30"/>
          <w:szCs w:val="30"/>
          <w:lang w:eastAsia="zh-cn"/>
        </w:rPr>
        <w:t>в течение года с момента принятия решения о продаже не подлежащих выкупу в соответствии с Законом Республики Беларусь от 15 июля 2010 года № 169-З «Об объектах, находящихся только в собственности государства, и видах деятельности, на осуществление которых распространяется исключительное право государства» объектов в коммунальную собственность административно-территориальной единицы по месту нахождения объекта. К таким объектам в основном относятся межхозяйственные мелиоративные системы и иные мелиоративные сооружения, объекты водопроводно-канализационного хозяйства, теплоснабжения и др. Данные объекты целесообразно передавать в коммунальную собственность по месту их нахождения на баланс специализированных организаций.</w:t>
      </w:r>
      <w:r>
        <w:rPr>
          <w:rFonts w:eastAsia="Calibri"/>
          <w:sz w:val="30"/>
          <w:szCs w:val="30"/>
          <w:lang w:eastAsia="zh-cn"/>
        </w:rPr>
      </w:r>
    </w:p>
    <w:p>
      <w:pPr>
        <w:ind w:firstLine="567"/>
        <w:spacing w:line="259" w:lineRule="auto"/>
        <w:jc w:val="both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solid" w:color="FFFFFF" tmshd="1677721856, 0, 16777215"/>
        <w:rPr>
          <w:rFonts w:eastAsia="Calibri"/>
          <w:sz w:val="30"/>
          <w:szCs w:val="30"/>
          <w:lang w:eastAsia="zh-cn"/>
        </w:rPr>
      </w:pPr>
      <w:r>
        <w:rPr>
          <w:rFonts w:eastAsia="Calibri"/>
          <w:sz w:val="30"/>
          <w:szCs w:val="30"/>
          <w:lang w:eastAsia="zh-cn"/>
        </w:rPr>
        <w:t>Проектом решения предусматривается, что передача предприятия как имущественного комплекса сельскохозяйственной организации в аренду, а также в доверительное управление принадлежащих Кобринскому району акций (долей в уставных фондах) сельскохозяйственной организации может являться основанием прекращения трудового договора с руководителем этой сельскохозяйственной организации. Данная норма позволит через новый перспективный руководящий состав внедрить новые прогрессивные стили управления (инновационный менеджмент) для достижения эффективной деятельности сельскохозяйственной организации.</w:t>
      </w:r>
    </w:p>
    <w:p>
      <w:pPr>
        <w:ind w:firstLine="567"/>
        <w:spacing/>
        <w:jc w:val="both"/>
        <w:widowControl w:val="0"/>
        <w:rPr>
          <w:rFonts w:eastAsia="Calibri"/>
          <w:sz w:val="22"/>
          <w:szCs w:val="22"/>
          <w:lang w:eastAsia="zh-cn"/>
        </w:rPr>
      </w:pPr>
      <w:r>
        <w:rPr>
          <w:rFonts w:eastAsia="Calibri"/>
          <w:sz w:val="30"/>
          <w:szCs w:val="30"/>
          <w:lang w:eastAsia="zh-cn"/>
        </w:rPr>
        <w:t>Принятие проекта решения создаст дополнительные условия для финансового оздоровления сельскохозяйственных организаций и повышения эффективности сельскохозяйственного производства</w:t>
      </w:r>
      <w:r>
        <w:rPr>
          <w:rFonts w:eastAsia="Calibri"/>
          <w:sz w:val="22"/>
          <w:szCs w:val="22"/>
          <w:lang w:eastAsia="zh-cn"/>
        </w:rPr>
        <w:t>.</w:t>
      </w:r>
      <w:r>
        <w:rPr>
          <w:rFonts w:eastAsia="Calibri"/>
          <w:sz w:val="22"/>
          <w:szCs w:val="22"/>
          <w:lang w:eastAsia="zh-cn"/>
        </w:rPr>
      </w:r>
    </w:p>
    <w:p>
      <w:pPr>
        <w:ind w:firstLine="709"/>
        <w:spacing/>
        <w:jc w:val="both"/>
        <w:rPr>
          <w:sz w:val="30"/>
        </w:rPr>
      </w:pPr>
      <w:r>
        <w:rPr>
          <w:sz w:val="30"/>
        </w:rPr>
        <w:t>Выступили: Денисюк С.И.,  Новик В.В., Борисюк В.П., Гловацкая Н.Н., Блеян М.Я., Омельчук С.И., которые отметили, что необходимо привести в соответствие с действующим законодательством решение Кобринского районного Совета депутатов.</w:t>
      </w:r>
    </w:p>
    <w:p>
      <w:pPr>
        <w:ind w:right="282"/>
        <w:spacing/>
        <w:jc w:val="both"/>
        <w:widowControl w:val="0"/>
        <w:tabs>
          <w:tab w:val="left" w:pos="142" w:leader="none"/>
          <w:tab w:val="left" w:pos="284" w:leader="none"/>
          <w:tab w:val="left" w:pos="993" w:leader="none"/>
        </w:tabs>
        <w:rPr>
          <w:b/>
          <w:sz w:val="30"/>
          <w:szCs w:val="30"/>
        </w:rPr>
      </w:pPr>
      <w:r>
        <w:rPr>
          <w:b/>
          <w:sz w:val="30"/>
          <w:szCs w:val="30"/>
        </w:rPr>
      </w:r>
    </w:p>
    <w:p>
      <w:pPr>
        <w:ind w:right="282" w:firstLine="709"/>
        <w:spacing/>
        <w:jc w:val="both"/>
        <w:widowControl w:val="0"/>
        <w:tabs>
          <w:tab w:val="left" w:pos="142" w:leader="none"/>
          <w:tab w:val="left" w:pos="284" w:leader="none"/>
          <w:tab w:val="left" w:pos="993" w:leader="none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>Решили:</w:t>
      </w:r>
    </w:p>
    <w:p>
      <w:pPr>
        <w:pStyle w:val="para4"/>
        <w:ind w:firstLine="709"/>
        <w:spacing w:line="240" w:lineRule="auto"/>
        <w:jc w:val="both"/>
        <w:widowControl/>
        <w:rPr>
          <w:sz w:val="30"/>
          <w:szCs w:val="30"/>
        </w:rPr>
      </w:pPr>
      <w:r>
        <w:rPr>
          <w:rStyle w:val="char2"/>
          <w:sz w:val="30"/>
          <w:szCs w:val="30"/>
        </w:rPr>
        <w:t>Согласовать проект решения Кобринского районного Совета депутатов «</w:t>
      </w:r>
      <w:r>
        <w:rPr>
          <w:sz w:val="30"/>
          <w:szCs w:val="30"/>
        </w:rPr>
        <w:t xml:space="preserve">О мерах по реализации Указа Президента Республики от </w:t>
        <w:br w:type="textWrapping"/>
        <w:t>2 октября 2018 г. № 399</w:t>
      </w:r>
      <w:r>
        <w:rPr>
          <w:sz w:val="30"/>
          <w:szCs w:val="30"/>
        </w:rPr>
        <w:t>»</w:t>
      </w:r>
      <w:r>
        <w:rPr>
          <w:sz w:val="30"/>
          <w:szCs w:val="30"/>
        </w:rPr>
      </w:r>
    </w:p>
    <w:p>
      <w:pPr>
        <w:pStyle w:val="para3"/>
        <w:ind w:firstLine="720"/>
        <w:spacing/>
        <w:jc w:val="both"/>
        <w:widowControl w:val="0"/>
        <w:rPr>
          <w:sz w:val="30"/>
          <w:szCs w:val="30"/>
        </w:rPr>
      </w:pPr>
      <w:r>
        <w:rPr>
          <w:sz w:val="30"/>
          <w:szCs w:val="30"/>
        </w:rPr>
      </w:r>
    </w:p>
    <w:p>
      <w:pPr>
        <w:pStyle w:val="para3"/>
        <w:ind w:firstLine="720"/>
        <w:spacing/>
        <w:jc w:val="both"/>
        <w:widowControl w:val="0"/>
        <w:rPr>
          <w:sz w:val="30"/>
          <w:szCs w:val="30"/>
        </w:rPr>
      </w:pPr>
      <w:r>
        <w:rPr>
          <w:sz w:val="30"/>
          <w:szCs w:val="30"/>
        </w:rPr>
        <w:t xml:space="preserve">Голосовали: </w:t>
      </w:r>
    </w:p>
    <w:tbl>
      <w:tblPr>
        <w:name w:val="Таблица2"/>
        <w:tabOrder w:val="0"/>
        <w:jc w:val="left"/>
        <w:tblInd w:w="1884" w:type="dxa"/>
        <w:tblW w:w="8606" w:type="dxa"/>
      </w:tblPr>
      <w:tblGrid>
        <w:gridCol w:w="2868"/>
        <w:gridCol w:w="2869"/>
        <w:gridCol w:w="2869"/>
      </w:tblGrid>
      <w:tr>
        <w:trPr>
          <w:trHeight w:val="326" w:hRule="atLeast"/>
        </w:trPr>
        <w:tc>
          <w:tcPr>
            <w:tcW w:w="2868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center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«за»</w:t>
            </w:r>
          </w:p>
        </w:tc>
        <w:tc>
          <w:tcPr>
            <w:tcW w:w="286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center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286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both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Голосов</w:t>
            </w:r>
          </w:p>
        </w:tc>
      </w:tr>
      <w:tr>
        <w:trPr>
          <w:trHeight w:val="326" w:hRule="atLeast"/>
        </w:trPr>
        <w:tc>
          <w:tcPr>
            <w:tcW w:w="2868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center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«против»</w:t>
            </w:r>
          </w:p>
        </w:tc>
        <w:tc>
          <w:tcPr>
            <w:tcW w:w="286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center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нет</w:t>
            </w:r>
          </w:p>
        </w:tc>
        <w:tc>
          <w:tcPr>
            <w:tcW w:w="286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both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Голоса</w:t>
            </w:r>
          </w:p>
        </w:tc>
      </w:tr>
      <w:tr>
        <w:trPr>
          <w:trHeight w:val="326" w:hRule="atLeast"/>
        </w:trPr>
        <w:tc>
          <w:tcPr>
            <w:tcW w:w="2868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center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«воздержавшихся»</w:t>
            </w:r>
          </w:p>
        </w:tc>
        <w:tc>
          <w:tcPr>
            <w:tcW w:w="286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single" w:sz="4" w:space="0" w:color="000000" tmln="10, 20, 20, 0, 0"/>
              <w:left w:val="nil" w:sz="0" w:space="0" w:color="000000" tmln="20, 20, 20, 0, 0"/>
              <w:bottom w:val="single" w:sz="4" w:space="0" w:color="000000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center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нет</w:t>
            </w:r>
          </w:p>
        </w:tc>
        <w:tc>
          <w:tcPr>
            <w:tcW w:w="2869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pStyle w:val="para3"/>
              <w:spacing/>
              <w:jc w:val="both"/>
              <w:widowControl w:val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Голоса</w:t>
            </w:r>
          </w:p>
        </w:tc>
      </w:tr>
    </w:tbl>
    <w:p>
      <w:pPr>
        <w:spacing/>
        <w:jc w:val="both"/>
        <w:rPr>
          <w:sz w:val="30"/>
          <w:szCs w:val="30"/>
        </w:rPr>
      </w:pPr>
      <w:r>
        <w:rPr>
          <w:sz w:val="30"/>
          <w:szCs w:val="30"/>
        </w:rPr>
      </w:r>
    </w:p>
    <w:p>
      <w:pPr>
        <w:spacing/>
        <w:jc w:val="both"/>
        <w:rPr>
          <w:sz w:val="30"/>
          <w:szCs w:val="30"/>
        </w:rPr>
      </w:pPr>
      <w:r>
        <w:rPr>
          <w:sz w:val="30"/>
          <w:szCs w:val="30"/>
        </w:rPr>
        <w:t>Проект решения согласован единогласно.</w:t>
      </w:r>
    </w:p>
    <w:p>
      <w:pPr>
        <w:spacing/>
        <w:jc w:val="both"/>
        <w:rPr>
          <w:sz w:val="30"/>
          <w:szCs w:val="30"/>
        </w:rPr>
      </w:pPr>
      <w:r>
        <w:rPr>
          <w:sz w:val="30"/>
          <w:szCs w:val="30"/>
        </w:rPr>
      </w:r>
    </w:p>
    <w:tbl>
      <w:tblPr>
        <w:name w:val="Таблица4"/>
        <w:tabOrder w:val="0"/>
        <w:jc w:val="left"/>
        <w:tblInd w:w="0" w:type="dxa"/>
        <w:tblW w:w="9570" w:type="dxa"/>
      </w:tblPr>
      <w:tblGrid>
        <w:gridCol w:w="4785"/>
        <w:gridCol w:w="4785"/>
      </w:tblGrid>
      <w:tr>
        <w:trPr>
          <w:trHeight w:val="0" w:hRule="auto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ind w:right="-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</w:r>
          </w:p>
          <w:p>
            <w:pPr>
              <w:ind w:right="-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Председатель Совета 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, 0"/>
              <w:left w:val="nil" w:sz="0" w:space="0" w:color="000000" tmln="20, 20, 20, 0, 0"/>
              <w:bottom w:val="nil" w:sz="0" w:space="0" w:color="000000" tmln="2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54271095" protected="1"/>
          </w:tcPr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</w:t>
            </w:r>
          </w:p>
          <w:p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Новик Василий Васильевич</w:t>
            </w:r>
          </w:p>
        </w:tc>
      </w:tr>
    </w:tbl>
    <w:p>
      <w:pPr>
        <w:spacing/>
        <w:jc w:val="both"/>
        <w:rPr>
          <w:sz w:val="30"/>
          <w:szCs w:val="30"/>
        </w:rPr>
      </w:pPr>
      <w:r>
        <w:rPr>
          <w:sz w:val="30"/>
          <w:szCs w:val="30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8"/>
      <w:footerReference w:type="default" r:id="rId9"/>
      <w:headerReference w:type="first" r:id="rId10"/>
      <w:footerReference w:type="first" r:id="rId11"/>
      <w:type w:val="nextPage"/>
      <w:pgSz w:h="16838" w:w="11906"/>
      <w:pgMar w:left="1701" w:top="1134" w:right="567" w:bottom="1134" w:header="709" w:footer="709"/>
      <w:paperSrc w:first="0" w:other="0"/>
      <w:pgNumType w:fmt="decimal"/>
      <w:titlePg/>
      <w:tmGutter w:val="3"/>
      <w:mirrorMargins w:val="0"/>
      <w:tmSection w:h="-2">
        <w:tmHeader w:id="0" w:h="0" edge="709" text="0">
          <w:shd w:val="none"/>
        </w:tmHeader>
        <w:tmFooter w:id="0" w:h="0" edge="709" text="0">
          <w:shd w:val="none"/>
        </w:tmFooter>
        <w:tmHeader w:id="2" w:h="0" edge="709" text="0">
          <w:shd w:val="none"/>
        </w:tmHeader>
        <w:tmFooter w:id="2" w:h="0" edge="709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Tahoma">
    <w:panose1 w:val="020B060403050404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5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0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300" cy="175260"/>
              <wp:effectExtent l="0" t="0" r="0" b="0"/>
              <wp:wrapSquare wrapText="bothSides"/>
              <wp:docPr id="1" name="Надпись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:sm="smNativeData" val="SMDATA_14_d0ukX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CLgAAxkEAAAACAAAJAAAABAAAAAAAAAAMAAAAE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AQ4gAAQAAAAAAAAAACAAAAAQAAAAAAAAAAAAAAAgAAAAEAAAC0AAAAFAEAAAAAAAAeGQAAxgIAAA=="/>
                        </a:ext>
                      </a:extLst>
                    </wps:cNvSpPr>
                    <wps:spPr>
                      <a:xfrm>
                        <a:off x="0" y="0"/>
                        <a:ext cx="114300" cy="17526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para5"/>
                            <w:rPr>
                              <w:rStyle w:val="char3"/>
                            </w:rPr>
                          </w:pPr>
                          <w:r>
                            <w:rPr>
                              <w:rStyle w:val="char3"/>
                            </w:rPr>
                          </w:r>
                          <w:r>
                            <w:rPr>
                              <w:rStyle w:val="char3"/>
                            </w:rPr>
                            <w:fldChar w:fldCharType="begin"/>
                            <w:instrText xml:space="preserve"> PAGE </w:instrText>
                            <w:fldChar w:fldCharType="separate"/>
                            <w:t>5</w:t>
                            <w:fldChar w:fldCharType="end"/>
                          </w:r>
                          <w:r>
                            <w:rPr>
                              <w:rStyle w:val="char3"/>
                            </w:rPr>
                          </w:r>
                        </w:p>
                      </w:txbxContent>
                    </wps:txbx>
                    <wps:bodyPr spcFirstLastPara="1" vertOverflow="clip" horzOverflow="clip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path gradientshapeok="t" o:connecttype="rect"/>
            </v:shapetype>
            <v:shape id="Надпись1" o:spid="_x0000_s2049" type="#_x0000_t202" style="position:absolute;mso-position-horizontal:center;margin-top:0.05pt;mso-position-horizontal-relative:margin;width:9.00pt;height:13.80pt;z-index:251658241;mso-wrap-distance-left:0.00pt;mso-wrap-distance-top:0.00pt;mso-wrap-distance-right:0.00pt;mso-wrap-distance-bottom:0.00pt;mso-wrap-style:square" stroked="f" filled="f" v:ext="SMDATA_14_d0ukX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CLgAAxkEAAAACAAAJAAAABAAAAAAAAAAMAAAAE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AQ4gAAQAAAAAAAAAACAAAAAQAAAAAAAAAAAAAAAgAAAAEAAAC0AAAAFAEAAAAAAAAeGQAAxgIAAA==" o:insetmode="custom">
              <w10:wrap type="square" anchorx="margin" anchory="text"/>
              <v:textbox style="mso-fit-shape-to-text:t" inset="0.0pt,0.0pt,0.0pt,0.0pt">
                <w:txbxContent>
                  <w:p>
                    <w:pPr>
                      <w:pStyle w:val="para5"/>
                      <w:rPr>
                        <w:rStyle w:val="char3"/>
                      </w:rPr>
                    </w:pPr>
                    <w:r>
                      <w:rPr>
                        <w:rStyle w:val="char3"/>
                      </w:rPr>
                    </w:r>
                    <w:r>
                      <w:rPr>
                        <w:rStyle w:val="char3"/>
                      </w:rPr>
                      <w:fldChar w:fldCharType="begin"/>
                      <w:instrText xml:space="preserve"> PAGE </w:instrText>
                      <w:fldChar w:fldCharType="separate"/>
                      <w:t>5</w:t>
                      <w:fldChar w:fldCharType="end"/>
                    </w:r>
                    <w:r>
                      <w:rPr>
                        <w:rStyle w:val="char3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5121"/>
    <o:shapelayout v:ext="edit">
      <o:rules v:ext="edit"/>
    </o:shapelayout>
  </w:shapeDefaults>
  <w:tmPrefOne w:val="17"/>
  <w:tmPrefTwo w:val="0"/>
  <w:tmFmtPref w:val="189283691"/>
  <w:tmCommentsPr>
    <w:tmCommentsPlace w:val="0"/>
    <w:tmCommentsWidth w:val="3119"/>
    <w:tmCommentsColor w:val="-1"/>
  </w:tmCommentsPr>
  <w:tmReviewPr>
    <w:tmReviewEnabled w:val="0"/>
    <w:tmReviewShow w:val="1"/>
    <w:tmReviewPrint w:val="1"/>
    <w:tmRevisionNum w:val="9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4"/>
    <w:tmLastPosSelect w:val="0"/>
    <w:tmLastPosFrameIdx w:val="0"/>
    <w:tmLastPosCaret>
      <w:tmLastPosPgfIdx w:val="55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554271095" w:val="944" w:fileVer="341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sz w:val="24"/>
      <w:szCs w:val="24"/>
      <w:lang w:val="ru-ru" w:bidi="ar-sa"/>
    </w:rPr>
  </w:style>
  <w:style w:type="paragraph" w:styleId="para1">
    <w:name w:val="heading 1"/>
    <w:qFormat/>
    <w:basedOn w:val="para0"/>
    <w:next w:val="para0"/>
    <w:pPr>
      <w:keepNext/>
      <w:outlineLvl w:val="0"/>
    </w:pPr>
    <w:rPr>
      <w:sz w:val="30"/>
    </w:rPr>
  </w:style>
  <w:style w:type="paragraph" w:styleId="para2">
    <w:name w:val="Normal (Web)"/>
    <w:qFormat/>
    <w:basedOn w:val="para0"/>
    <w:pPr>
      <w:spacing w:before="100" w:after="100" w:beforeAutospacing="1" w:afterAutospacing="1"/>
    </w:pPr>
  </w:style>
  <w:style w:type="paragraph" w:styleId="para3" w:customStyle="1">
    <w:name w:val="Norma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lang w:val="ru-ru" w:bidi="ar-sa"/>
    </w:rPr>
  </w:style>
  <w:style w:type="paragraph" w:styleId="para4" w:customStyle="1">
    <w:name w:val="Style7"/>
    <w:qFormat/>
    <w:basedOn w:val="para0"/>
    <w:pPr>
      <w:spacing w:line="278" w:lineRule="exact"/>
      <w:widowControl w:val="0"/>
    </w:pPr>
  </w:style>
  <w:style w:type="paragraph" w:styleId="para5">
    <w:name w:val="Header"/>
    <w:qFormat/>
    <w:basedOn w:val="para0"/>
    <w:pPr>
      <w:tabs>
        <w:tab w:val="center" w:pos="4677" w:leader="none"/>
        <w:tab w:val="right" w:pos="9355" w:leader="none"/>
      </w:tabs>
    </w:pPr>
  </w:style>
  <w:style w:type="paragraph" w:styleId="para6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7">
    <w:name w:val="No Spacing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Calibri" w:hAnsi="Calibri" w:eastAsia="Calibri" w:cs="Calibri"/>
      <w:sz w:val="22"/>
      <w:szCs w:val="22"/>
      <w:lang w:val="ru-ru" w:bidi="ar-sa"/>
    </w:rPr>
  </w:style>
  <w:style w:type="paragraph" w:styleId="para8" w:customStyle="1">
    <w:name w:val="Знак"/>
    <w:qFormat/>
    <w:basedOn w:val="para0"/>
    <w:pPr>
      <w:spacing w:before="100" w:after="100" w:beforeAutospacing="1" w:afterAutospacing="1"/>
    </w:pPr>
    <w:rPr>
      <w:rFonts w:ascii="Tahoma" w:hAnsi="Tahoma" w:cs="Tahoma"/>
      <w:sz w:val="20"/>
      <w:szCs w:val="20"/>
      <w:lang w:val="en-us"/>
    </w:rPr>
  </w:style>
  <w:style w:type="paragraph" w:styleId="para9" w:customStyle="1">
    <w:name w:val="ConsPlusNorma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sz w:val="30"/>
      <w:szCs w:val="30"/>
      <w:lang w:val="ru-ru" w:bidi="ar-sa"/>
    </w:rPr>
  </w:style>
  <w:style w:type="paragraph" w:styleId="para10" w:customStyle="1">
    <w:name w:val="point"/>
    <w:qFormat/>
    <w:basedOn w:val="para0"/>
    <w:pPr>
      <w:ind w:firstLine="567"/>
      <w:spacing/>
      <w:jc w:val="both"/>
    </w:pPr>
    <w:rPr>
      <w:lang w:eastAsia="zh-cn"/>
    </w:rPr>
  </w:style>
  <w:style w:type="paragraph" w:styleId="para11">
    <w:name w:val="Body Text Indent"/>
    <w:qFormat/>
    <w:basedOn w:val="para0"/>
    <w:pPr>
      <w:ind w:firstLine="851"/>
      <w:spacing/>
      <w:jc w:val="both"/>
    </w:pPr>
    <w:rPr>
      <w:sz w:val="28"/>
      <w:szCs w:val="20"/>
      <w:lang w:eastAsia="zh-cn"/>
    </w:rPr>
  </w:style>
  <w:style w:type="character" w:styleId="char0" w:default="1">
    <w:name w:val="Default Paragraph Font"/>
  </w:style>
  <w:style w:type="character" w:styleId="char1">
    <w:name w:val="Emphasis"/>
    <w:rPr>
      <w:i/>
      <w:iCs/>
    </w:rPr>
  </w:style>
  <w:style w:type="character" w:styleId="char2" w:customStyle="1">
    <w:name w:val="Font Style15"/>
    <w:rPr>
      <w:rFonts w:ascii="Times New Roman" w:hAnsi="Times New Roman" w:cs="Times New Roman"/>
      <w:sz w:val="26"/>
      <w:szCs w:val="26"/>
    </w:rPr>
  </w:style>
  <w:style w:type="character" w:styleId="char3">
    <w:name w:val="Page Number"/>
  </w:style>
  <w:style w:type="character" w:styleId="char4" w:customStyle="1">
    <w:name w:val="Текст выноски Знак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sz w:val="24"/>
      <w:szCs w:val="24"/>
      <w:lang w:val="ru-ru" w:bidi="ar-sa"/>
    </w:rPr>
  </w:style>
  <w:style w:type="paragraph" w:styleId="para1">
    <w:name w:val="heading 1"/>
    <w:qFormat/>
    <w:basedOn w:val="para0"/>
    <w:next w:val="para0"/>
    <w:pPr>
      <w:keepNext/>
      <w:outlineLvl w:val="0"/>
    </w:pPr>
    <w:rPr>
      <w:sz w:val="30"/>
    </w:rPr>
  </w:style>
  <w:style w:type="paragraph" w:styleId="para2">
    <w:name w:val="Normal (Web)"/>
    <w:qFormat/>
    <w:basedOn w:val="para0"/>
    <w:pPr>
      <w:spacing w:before="100" w:after="100" w:beforeAutospacing="1" w:afterAutospacing="1"/>
    </w:pPr>
  </w:style>
  <w:style w:type="paragraph" w:styleId="para3" w:customStyle="1">
    <w:name w:val="Norma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lang w:val="ru-ru" w:bidi="ar-sa"/>
    </w:rPr>
  </w:style>
  <w:style w:type="paragraph" w:styleId="para4" w:customStyle="1">
    <w:name w:val="Style7"/>
    <w:qFormat/>
    <w:basedOn w:val="para0"/>
    <w:pPr>
      <w:spacing w:line="278" w:lineRule="exact"/>
      <w:widowControl w:val="0"/>
    </w:pPr>
  </w:style>
  <w:style w:type="paragraph" w:styleId="para5">
    <w:name w:val="Header"/>
    <w:qFormat/>
    <w:basedOn w:val="para0"/>
    <w:pPr>
      <w:tabs>
        <w:tab w:val="center" w:pos="4677" w:leader="none"/>
        <w:tab w:val="right" w:pos="9355" w:leader="none"/>
      </w:tabs>
    </w:pPr>
  </w:style>
  <w:style w:type="paragraph" w:styleId="para6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7">
    <w:name w:val="No Spacing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rFonts w:ascii="Calibri" w:hAnsi="Calibri" w:eastAsia="Calibri" w:cs="Calibri"/>
      <w:sz w:val="22"/>
      <w:szCs w:val="22"/>
      <w:lang w:val="ru-ru" w:bidi="ar-sa"/>
    </w:rPr>
  </w:style>
  <w:style w:type="paragraph" w:styleId="para8" w:customStyle="1">
    <w:name w:val="Знак"/>
    <w:qFormat/>
    <w:basedOn w:val="para0"/>
    <w:pPr>
      <w:spacing w:before="100" w:after="100" w:beforeAutospacing="1" w:afterAutospacing="1"/>
    </w:pPr>
    <w:rPr>
      <w:rFonts w:ascii="Tahoma" w:hAnsi="Tahoma" w:cs="Tahoma"/>
      <w:sz w:val="20"/>
      <w:szCs w:val="20"/>
      <w:lang w:val="en-us"/>
    </w:rPr>
  </w:style>
  <w:style w:type="paragraph" w:styleId="para9" w:customStyle="1">
    <w:name w:val="ConsPlusNormal"/>
    <w:qFormat/>
    <w:pPr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none"/>
    </w:pPr>
    <w:rPr>
      <w:sz w:val="30"/>
      <w:szCs w:val="30"/>
      <w:lang w:val="ru-ru" w:bidi="ar-sa"/>
    </w:rPr>
  </w:style>
  <w:style w:type="paragraph" w:styleId="para10" w:customStyle="1">
    <w:name w:val="point"/>
    <w:qFormat/>
    <w:basedOn w:val="para0"/>
    <w:pPr>
      <w:ind w:firstLine="567"/>
      <w:spacing/>
      <w:jc w:val="both"/>
    </w:pPr>
    <w:rPr>
      <w:lang w:eastAsia="zh-cn"/>
    </w:rPr>
  </w:style>
  <w:style w:type="paragraph" w:styleId="para11">
    <w:name w:val="Body Text Indent"/>
    <w:qFormat/>
    <w:basedOn w:val="para0"/>
    <w:pPr>
      <w:ind w:firstLine="851"/>
      <w:spacing/>
      <w:jc w:val="both"/>
    </w:pPr>
    <w:rPr>
      <w:sz w:val="28"/>
      <w:szCs w:val="20"/>
      <w:lang w:eastAsia="zh-cn"/>
    </w:rPr>
  </w:style>
  <w:style w:type="character" w:styleId="char0" w:default="1">
    <w:name w:val="Default Paragraph Font"/>
  </w:style>
  <w:style w:type="character" w:styleId="char1">
    <w:name w:val="Emphasis"/>
    <w:rPr>
      <w:i/>
      <w:iCs/>
    </w:rPr>
  </w:style>
  <w:style w:type="character" w:styleId="char2" w:customStyle="1">
    <w:name w:val="Font Style15"/>
    <w:rPr>
      <w:rFonts w:ascii="Times New Roman" w:hAnsi="Times New Roman" w:cs="Times New Roman"/>
      <w:sz w:val="26"/>
      <w:szCs w:val="26"/>
    </w:rPr>
  </w:style>
  <w:style w:type="character" w:styleId="char3">
    <w:name w:val="Page Number"/>
  </w:style>
  <w:style w:type="character" w:styleId="char4" w:customStyle="1">
    <w:name w:val="Текст выноски Знак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Relationship Id="rId1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Педченец</dc:creator>
  <cp:keywords/>
  <dc:description/>
  <cp:lastModifiedBy>rik</cp:lastModifiedBy>
  <cp:revision>9</cp:revision>
  <cp:lastPrinted>2019-04-03T05:58:33Z</cp:lastPrinted>
  <dcterms:created xsi:type="dcterms:W3CDTF">2019-01-29T09:20:00Z</dcterms:created>
  <dcterms:modified xsi:type="dcterms:W3CDTF">2019-04-03T05:58:15Z</dcterms:modified>
</cp:coreProperties>
</file>